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2A6DBD" w:rsidRPr="005C5BA7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0"/>
          <w:szCs w:val="20"/>
        </w:rPr>
      </w:pPr>
      <w:r w:rsidRPr="005C5BA7">
        <w:rPr>
          <w:rFonts w:ascii="Times New Roman" w:hAnsi="Times New Roman"/>
          <w:b/>
          <w:iCs/>
          <w:sz w:val="20"/>
          <w:szCs w:val="20"/>
        </w:rPr>
        <w:t>Учебный план</w:t>
      </w:r>
    </w:p>
    <w:p w:rsidR="00BF4D38" w:rsidRPr="00E33CEB" w:rsidRDefault="00B855D2" w:rsidP="00B855D2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/>
          <w:b/>
          <w:sz w:val="20"/>
          <w:szCs w:val="20"/>
        </w:rPr>
      </w:pPr>
      <w:r w:rsidRPr="005C5BA7">
        <w:rPr>
          <w:rFonts w:ascii="Times New Roman" w:hAnsi="Times New Roman"/>
          <w:sz w:val="20"/>
          <w:szCs w:val="20"/>
        </w:rPr>
        <w:t>«</w:t>
      </w:r>
      <w:r w:rsidRPr="00E33CEB">
        <w:rPr>
          <w:rFonts w:ascii="Times New Roman" w:hAnsi="Times New Roman"/>
          <w:b/>
          <w:sz w:val="20"/>
          <w:szCs w:val="20"/>
        </w:rPr>
        <w:t>Теоретические основы высокоэффективной жидкостной хроматограф</w:t>
      </w:r>
      <w:proofErr w:type="gramStart"/>
      <w:r w:rsidRPr="00E33CEB">
        <w:rPr>
          <w:rFonts w:ascii="Times New Roman" w:hAnsi="Times New Roman"/>
          <w:b/>
          <w:sz w:val="20"/>
          <w:szCs w:val="20"/>
        </w:rPr>
        <w:t>ии и её</w:t>
      </w:r>
      <w:proofErr w:type="gramEnd"/>
      <w:r w:rsidRPr="00E33CEB">
        <w:rPr>
          <w:rFonts w:ascii="Times New Roman" w:hAnsi="Times New Roman"/>
          <w:b/>
          <w:sz w:val="20"/>
          <w:szCs w:val="20"/>
        </w:rPr>
        <w:t xml:space="preserve"> использование в идентификации контами</w:t>
      </w:r>
      <w:r w:rsidR="00182C84" w:rsidRPr="00E33CEB">
        <w:rPr>
          <w:rFonts w:ascii="Times New Roman" w:hAnsi="Times New Roman"/>
          <w:b/>
          <w:sz w:val="20"/>
          <w:szCs w:val="20"/>
        </w:rPr>
        <w:t>нации пищевых продуктов</w:t>
      </w:r>
      <w:r w:rsidRPr="00E33CEB">
        <w:rPr>
          <w:rFonts w:ascii="Times New Roman" w:hAnsi="Times New Roman"/>
          <w:b/>
          <w:sz w:val="20"/>
          <w:szCs w:val="20"/>
        </w:rPr>
        <w:t>»</w:t>
      </w:r>
    </w:p>
    <w:p w:rsidR="00182C84" w:rsidRPr="005C5BA7" w:rsidRDefault="00182C84" w:rsidP="00B855D2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/>
          <w:sz w:val="20"/>
          <w:szCs w:val="20"/>
        </w:rPr>
      </w:pPr>
      <w:r w:rsidRPr="005C5BA7">
        <w:rPr>
          <w:rFonts w:ascii="Times New Roman" w:hAnsi="Times New Roman"/>
          <w:sz w:val="20"/>
          <w:szCs w:val="20"/>
        </w:rPr>
        <w:t xml:space="preserve">(название  дополнительной профессионально программы </w:t>
      </w:r>
      <w:proofErr w:type="gramStart"/>
      <w:r w:rsidRPr="005C5BA7">
        <w:rPr>
          <w:rFonts w:ascii="Times New Roman" w:hAnsi="Times New Roman"/>
          <w:sz w:val="20"/>
          <w:szCs w:val="20"/>
        </w:rPr>
        <w:t>повышении</w:t>
      </w:r>
      <w:proofErr w:type="gramEnd"/>
      <w:r w:rsidRPr="005C5BA7">
        <w:rPr>
          <w:rFonts w:ascii="Times New Roman" w:hAnsi="Times New Roman"/>
          <w:sz w:val="20"/>
          <w:szCs w:val="20"/>
        </w:rPr>
        <w:t xml:space="preserve"> квалификации)</w:t>
      </w:r>
    </w:p>
    <w:p w:rsidR="00B855D2" w:rsidRPr="005C5BA7" w:rsidRDefault="00B855D2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</w:p>
    <w:p w:rsidR="002A6DBD" w:rsidRPr="005C5BA7" w:rsidRDefault="002A6DBD" w:rsidP="00750953">
      <w:pPr>
        <w:spacing w:after="0" w:line="240" w:lineRule="auto"/>
        <w:ind w:left="-992"/>
        <w:jc w:val="both"/>
        <w:rPr>
          <w:rFonts w:ascii="Times New Roman" w:hAnsi="Times New Roman"/>
          <w:sz w:val="20"/>
          <w:szCs w:val="20"/>
        </w:rPr>
      </w:pPr>
      <w:r w:rsidRPr="005C5BA7">
        <w:rPr>
          <w:rFonts w:ascii="Times New Roman" w:hAnsi="Times New Roman"/>
          <w:b/>
          <w:sz w:val="20"/>
          <w:szCs w:val="20"/>
        </w:rPr>
        <w:t>Цель</w:t>
      </w:r>
      <w:r w:rsidRPr="005C5BA7">
        <w:rPr>
          <w:rFonts w:ascii="Times New Roman" w:hAnsi="Times New Roman"/>
          <w:sz w:val="20"/>
          <w:szCs w:val="20"/>
        </w:rPr>
        <w:t xml:space="preserve">: </w:t>
      </w:r>
      <w:r w:rsidR="00750953" w:rsidRPr="005C5BA7">
        <w:rPr>
          <w:rFonts w:ascii="Times New Roman" w:hAnsi="Times New Roman" w:cs="Times New Roman"/>
          <w:sz w:val="20"/>
          <w:szCs w:val="20"/>
        </w:rPr>
        <w:t xml:space="preserve">повышение квалификации специалистов, получение знаний и навыков по освоению принципов и методологии </w:t>
      </w:r>
      <w:r w:rsidR="00122219" w:rsidRPr="005C5BA7">
        <w:rPr>
          <w:rFonts w:ascii="Times New Roman" w:hAnsi="Times New Roman" w:cs="Times New Roman"/>
          <w:sz w:val="20"/>
          <w:szCs w:val="20"/>
        </w:rPr>
        <w:t>применения ВЭЖХ и ВЭЖХ-МС</w:t>
      </w:r>
      <w:r w:rsidR="0047511B" w:rsidRPr="005C5BA7">
        <w:rPr>
          <w:rFonts w:ascii="Times New Roman" w:hAnsi="Times New Roman" w:cs="Times New Roman"/>
          <w:sz w:val="20"/>
          <w:szCs w:val="20"/>
        </w:rPr>
        <w:t xml:space="preserve"> при </w:t>
      </w:r>
      <w:r w:rsidR="00122219" w:rsidRPr="005C5BA7">
        <w:rPr>
          <w:rFonts w:ascii="Times New Roman" w:hAnsi="Times New Roman" w:cs="Times New Roman"/>
          <w:sz w:val="20"/>
          <w:szCs w:val="20"/>
        </w:rPr>
        <w:t>анализе пищевых продуктов</w:t>
      </w:r>
    </w:p>
    <w:p w:rsidR="00750953" w:rsidRPr="005C5BA7" w:rsidRDefault="002A6DBD" w:rsidP="00750953">
      <w:pPr>
        <w:pStyle w:val="ConsPlusNonformat"/>
        <w:ind w:left="-993"/>
        <w:jc w:val="both"/>
        <w:rPr>
          <w:rFonts w:ascii="Times New Roman" w:hAnsi="Times New Roman" w:cs="Times New Roman"/>
        </w:rPr>
      </w:pPr>
      <w:r w:rsidRPr="005C5BA7">
        <w:rPr>
          <w:rFonts w:ascii="Times New Roman" w:hAnsi="Times New Roman"/>
          <w:b/>
        </w:rPr>
        <w:t>Категория слушателей</w:t>
      </w:r>
      <w:r w:rsidRPr="005C5BA7">
        <w:rPr>
          <w:rFonts w:ascii="Times New Roman" w:hAnsi="Times New Roman"/>
        </w:rPr>
        <w:t xml:space="preserve">: </w:t>
      </w:r>
      <w:r w:rsidR="00750953" w:rsidRPr="005C5BA7">
        <w:rPr>
          <w:rFonts w:ascii="Times New Roman" w:hAnsi="Times New Roman" w:cs="Times New Roman"/>
        </w:rPr>
        <w:t>специалисты центров гигиены и эпидемиологии в субъектах Российской Федерации, лечебно-профилактических организаций, испытательных лабораторных центров;</w:t>
      </w:r>
    </w:p>
    <w:p w:rsidR="002A6DBD" w:rsidRPr="005C5BA7" w:rsidRDefault="002A6DBD" w:rsidP="00AD375B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5C5BA7">
        <w:rPr>
          <w:rFonts w:ascii="Times New Roman" w:hAnsi="Times New Roman"/>
          <w:b/>
          <w:sz w:val="20"/>
          <w:szCs w:val="20"/>
        </w:rPr>
        <w:t>Срок обучения</w:t>
      </w:r>
      <w:r w:rsidR="007B7B45" w:rsidRPr="005C5BA7">
        <w:rPr>
          <w:rFonts w:ascii="Times New Roman" w:hAnsi="Times New Roman"/>
          <w:sz w:val="20"/>
          <w:szCs w:val="20"/>
        </w:rPr>
        <w:t>: 40</w:t>
      </w:r>
      <w:r w:rsidRPr="005C5BA7">
        <w:rPr>
          <w:rFonts w:ascii="Times New Roman" w:hAnsi="Times New Roman"/>
          <w:sz w:val="20"/>
          <w:szCs w:val="20"/>
        </w:rPr>
        <w:t xml:space="preserve"> академичес</w:t>
      </w:r>
      <w:r w:rsidR="007B7B45" w:rsidRPr="005C5BA7">
        <w:rPr>
          <w:rFonts w:ascii="Times New Roman" w:hAnsi="Times New Roman"/>
          <w:sz w:val="20"/>
          <w:szCs w:val="20"/>
        </w:rPr>
        <w:t>ких часов</w:t>
      </w:r>
      <w:r w:rsidRPr="005C5BA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80"/>
        <w:gridCol w:w="567"/>
        <w:gridCol w:w="709"/>
        <w:gridCol w:w="708"/>
        <w:gridCol w:w="851"/>
        <w:gridCol w:w="992"/>
      </w:tblGrid>
      <w:tr w:rsidR="002A6DBD" w:rsidRPr="005C5BA7" w:rsidTr="005C5BA7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5B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C5BA7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2A6DBD" w:rsidRPr="005C5BA7" w:rsidRDefault="002A6DBD" w:rsidP="0075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Количество часов при обучении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</w:tr>
      <w:tr w:rsidR="005C5BA7" w:rsidRPr="005C5BA7" w:rsidTr="005C5BA7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5C5BA7" w:rsidRDefault="002A6DBD" w:rsidP="0075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5C5BA7" w:rsidRDefault="002A6DBD" w:rsidP="007509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BA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BA7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BA7">
              <w:rPr>
                <w:rFonts w:ascii="Times New Roman" w:hAnsi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BA7">
              <w:rPr>
                <w:rFonts w:ascii="Times New Roman" w:hAnsi="Times New Roman"/>
                <w:sz w:val="18"/>
                <w:szCs w:val="18"/>
              </w:rPr>
              <w:t>Самостоятельное освоение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75B" w:rsidRPr="005C5BA7" w:rsidTr="005C5BA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5BA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2A6DBD" w:rsidP="0075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5BA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5BA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5BA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AD375B" w:rsidRPr="005C5BA7" w:rsidTr="005C5BA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FA1548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D2" w:rsidRPr="005C5BA7" w:rsidRDefault="00B855D2" w:rsidP="00B8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 xml:space="preserve">Основные понятия высокоэффективной жидкостной хроматографии (ВЭЖХ). Принципы метода. Классификация </w:t>
            </w:r>
            <w:proofErr w:type="spellStart"/>
            <w:r w:rsidRPr="005C5BA7">
              <w:rPr>
                <w:rFonts w:ascii="Times New Roman" w:hAnsi="Times New Roman"/>
                <w:sz w:val="20"/>
                <w:szCs w:val="20"/>
              </w:rPr>
              <w:t>хроматографических</w:t>
            </w:r>
            <w:proofErr w:type="spellEnd"/>
            <w:r w:rsidRPr="005C5BA7">
              <w:rPr>
                <w:rFonts w:ascii="Times New Roman" w:hAnsi="Times New Roman"/>
                <w:sz w:val="20"/>
                <w:szCs w:val="20"/>
              </w:rPr>
              <w:t xml:space="preserve"> методов. Основные </w:t>
            </w:r>
            <w:proofErr w:type="spellStart"/>
            <w:r w:rsidRPr="005C5BA7">
              <w:rPr>
                <w:rFonts w:ascii="Times New Roman" w:hAnsi="Times New Roman"/>
                <w:sz w:val="20"/>
                <w:szCs w:val="20"/>
              </w:rPr>
              <w:t>хроматографические</w:t>
            </w:r>
            <w:proofErr w:type="spellEnd"/>
            <w:r w:rsidRPr="005C5BA7">
              <w:rPr>
                <w:rFonts w:ascii="Times New Roman" w:hAnsi="Times New Roman"/>
                <w:sz w:val="20"/>
                <w:szCs w:val="20"/>
              </w:rPr>
              <w:t xml:space="preserve"> параметры. </w:t>
            </w:r>
          </w:p>
          <w:p w:rsidR="00B855D2" w:rsidRPr="005C5BA7" w:rsidRDefault="00B855D2" w:rsidP="00B8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Теория теоретических тарелок. Кинетическая теория размывания. Уравнение Ван-</w:t>
            </w:r>
            <w:proofErr w:type="spellStart"/>
            <w:r w:rsidRPr="005C5BA7">
              <w:rPr>
                <w:rFonts w:ascii="Times New Roman" w:hAnsi="Times New Roman"/>
                <w:sz w:val="20"/>
                <w:szCs w:val="20"/>
              </w:rPr>
              <w:t>Деемтера</w:t>
            </w:r>
            <w:proofErr w:type="spellEnd"/>
            <w:r w:rsidRPr="005C5BA7">
              <w:rPr>
                <w:rFonts w:ascii="Times New Roman" w:hAnsi="Times New Roman"/>
                <w:sz w:val="20"/>
                <w:szCs w:val="20"/>
              </w:rPr>
              <w:t xml:space="preserve">. Подвижная фаза и полярность растворителей. </w:t>
            </w:r>
            <w:proofErr w:type="spellStart"/>
            <w:r w:rsidRPr="005C5BA7">
              <w:rPr>
                <w:rFonts w:ascii="Times New Roman" w:hAnsi="Times New Roman"/>
                <w:sz w:val="20"/>
                <w:szCs w:val="20"/>
              </w:rPr>
              <w:t>Элюотропные</w:t>
            </w:r>
            <w:proofErr w:type="spellEnd"/>
            <w:r w:rsidRPr="005C5BA7">
              <w:rPr>
                <w:rFonts w:ascii="Times New Roman" w:hAnsi="Times New Roman"/>
                <w:sz w:val="20"/>
                <w:szCs w:val="20"/>
              </w:rPr>
              <w:t xml:space="preserve"> ряды.</w:t>
            </w:r>
          </w:p>
          <w:p w:rsidR="00B855D2" w:rsidRPr="005C5BA7" w:rsidRDefault="00B855D2" w:rsidP="00B855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 xml:space="preserve">Основные виды ВЭЖХ. Нормально-фазовая хроматография. </w:t>
            </w:r>
            <w:proofErr w:type="spellStart"/>
            <w:r w:rsidRPr="005C5BA7">
              <w:rPr>
                <w:rFonts w:ascii="Times New Roman" w:hAnsi="Times New Roman"/>
                <w:sz w:val="20"/>
                <w:szCs w:val="20"/>
              </w:rPr>
              <w:t>Обращенно</w:t>
            </w:r>
            <w:proofErr w:type="spellEnd"/>
            <w:r w:rsidRPr="005C5BA7">
              <w:rPr>
                <w:rFonts w:ascii="Times New Roman" w:hAnsi="Times New Roman"/>
                <w:sz w:val="20"/>
                <w:szCs w:val="20"/>
              </w:rPr>
              <w:t>-фазовая хроматография. Гидрофильная хроматография. Удерживание ионных соединений и ион-парная хроматография. Преимущества каждого из методов и область применения.</w:t>
            </w:r>
            <w:r w:rsidR="005C5BA7" w:rsidRPr="005C5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BA7">
              <w:rPr>
                <w:rFonts w:ascii="Times New Roman" w:hAnsi="Times New Roman"/>
                <w:sz w:val="20"/>
                <w:szCs w:val="20"/>
              </w:rPr>
              <w:t>Методы количественного анализа в анализе контаминации пищевых продуктов, в том числе и антимикробными средствами.</w:t>
            </w:r>
          </w:p>
          <w:p w:rsidR="002A6DBD" w:rsidRPr="005C5BA7" w:rsidRDefault="00B855D2" w:rsidP="005C5B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 xml:space="preserve">Аппаратурное оформление метода ВЭЖХ.  Виды насосов, инжектор, автодозатор. Детектирование в жидкостной хроматографии. Классификация детекторов. Чувствительность и </w:t>
            </w:r>
            <w:r w:rsidR="005C5BA7" w:rsidRPr="005C5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BA7">
              <w:rPr>
                <w:rFonts w:ascii="Times New Roman" w:hAnsi="Times New Roman"/>
                <w:sz w:val="20"/>
                <w:szCs w:val="20"/>
              </w:rPr>
              <w:t xml:space="preserve">предел обнаружения. Основные требования к детекторам. Примеры использования нормально </w:t>
            </w:r>
            <w:proofErr w:type="gramStart"/>
            <w:r w:rsidRPr="005C5BA7">
              <w:rPr>
                <w:rFonts w:ascii="Times New Roman" w:hAnsi="Times New Roman"/>
                <w:sz w:val="20"/>
                <w:szCs w:val="20"/>
              </w:rPr>
              <w:t>фазовой</w:t>
            </w:r>
            <w:proofErr w:type="gramEnd"/>
            <w:r w:rsidRPr="005C5BA7">
              <w:rPr>
                <w:rFonts w:ascii="Times New Roman" w:hAnsi="Times New Roman"/>
                <w:sz w:val="20"/>
                <w:szCs w:val="20"/>
              </w:rPr>
              <w:t xml:space="preserve"> (НФ) и </w:t>
            </w:r>
            <w:proofErr w:type="spellStart"/>
            <w:r w:rsidRPr="005C5BA7">
              <w:rPr>
                <w:rFonts w:ascii="Times New Roman" w:hAnsi="Times New Roman"/>
                <w:sz w:val="20"/>
                <w:szCs w:val="20"/>
              </w:rPr>
              <w:t>обращённо</w:t>
            </w:r>
            <w:proofErr w:type="spellEnd"/>
            <w:r w:rsidRPr="005C5BA7">
              <w:rPr>
                <w:rFonts w:ascii="Times New Roman" w:hAnsi="Times New Roman"/>
                <w:sz w:val="20"/>
                <w:szCs w:val="20"/>
              </w:rPr>
              <w:t xml:space="preserve"> фазовой (ОФ) ВЭЖХ. Подготовка образцов для ВЭЖХ в анализе контаминации пищевых продуктов.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B16326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50C3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75B" w:rsidRPr="005C5BA7" w:rsidTr="005C5BA7">
        <w:trPr>
          <w:trHeight w:hRule="exact" w:val="18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FA1548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B855D2" w:rsidP="0055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 xml:space="preserve">Метод высокоэффективной жидкостной хроматографии. От теории к практике. Соединение системы в единую </w:t>
            </w:r>
            <w:proofErr w:type="spellStart"/>
            <w:r w:rsidRPr="005C5BA7">
              <w:rPr>
                <w:rFonts w:ascii="Times New Roman" w:hAnsi="Times New Roman"/>
                <w:sz w:val="20"/>
                <w:szCs w:val="20"/>
              </w:rPr>
              <w:t>хроматографическую</w:t>
            </w:r>
            <w:proofErr w:type="spellEnd"/>
            <w:r w:rsidRPr="005C5BA7">
              <w:rPr>
                <w:rFonts w:ascii="Times New Roman" w:hAnsi="Times New Roman"/>
                <w:sz w:val="20"/>
                <w:szCs w:val="20"/>
              </w:rPr>
              <w:t xml:space="preserve"> систему. Подготовка хроматографа к работе. </w:t>
            </w:r>
            <w:proofErr w:type="spellStart"/>
            <w:r w:rsidRPr="005C5BA7">
              <w:rPr>
                <w:rFonts w:ascii="Times New Roman" w:hAnsi="Times New Roman"/>
                <w:sz w:val="20"/>
                <w:szCs w:val="20"/>
              </w:rPr>
              <w:t>Хроматографические</w:t>
            </w:r>
            <w:proofErr w:type="spellEnd"/>
            <w:r w:rsidRPr="005C5BA7">
              <w:rPr>
                <w:rFonts w:ascii="Times New Roman" w:hAnsi="Times New Roman"/>
                <w:sz w:val="20"/>
                <w:szCs w:val="20"/>
              </w:rPr>
              <w:t xml:space="preserve"> колонки. Сорбенты для ВЭЖХ. Правила работы с колонками. Особенности работы с </w:t>
            </w:r>
            <w:proofErr w:type="spellStart"/>
            <w:r w:rsidRPr="005C5BA7">
              <w:rPr>
                <w:rFonts w:ascii="Times New Roman" w:hAnsi="Times New Roman"/>
                <w:sz w:val="20"/>
                <w:szCs w:val="20"/>
              </w:rPr>
              <w:t>хроматографическими</w:t>
            </w:r>
            <w:proofErr w:type="spellEnd"/>
            <w:r w:rsidRPr="005C5BA7">
              <w:rPr>
                <w:rFonts w:ascii="Times New Roman" w:hAnsi="Times New Roman"/>
                <w:sz w:val="20"/>
                <w:szCs w:val="20"/>
              </w:rPr>
              <w:t xml:space="preserve"> системами. Параметры оптимизации разделения. Требования к растворителям. Практическое применение ВЭЖХ в рамках стандартов ЕАЭС при</w:t>
            </w:r>
            <w:r w:rsidR="005C5BA7" w:rsidRPr="005C5BA7">
              <w:rPr>
                <w:rFonts w:ascii="Times New Roman" w:hAnsi="Times New Roman"/>
                <w:sz w:val="20"/>
                <w:szCs w:val="20"/>
              </w:rPr>
              <w:t xml:space="preserve"> определении </w:t>
            </w:r>
            <w:proofErr w:type="spellStart"/>
            <w:r w:rsidR="005C5BA7" w:rsidRPr="005C5BA7">
              <w:rPr>
                <w:rFonts w:ascii="Times New Roman" w:hAnsi="Times New Roman"/>
                <w:sz w:val="20"/>
                <w:szCs w:val="20"/>
              </w:rPr>
              <w:t>контаминантов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6D24D3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6D24D3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75B" w:rsidRPr="005C5BA7" w:rsidTr="005C5BA7">
        <w:trPr>
          <w:trHeight w:hRule="exact" w:val="1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FA1548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B855D2" w:rsidP="0055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 xml:space="preserve">Определение остаточных количеств антибиотиков в пищевых продуктах методом высокоэффективной жидкостной хроматографии на приборе </w:t>
            </w:r>
            <w:proofErr w:type="gramStart"/>
            <w:r w:rsidRPr="005C5BA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C5BA7">
              <w:rPr>
                <w:rFonts w:ascii="Times New Roman" w:hAnsi="Times New Roman"/>
                <w:sz w:val="20"/>
                <w:szCs w:val="20"/>
              </w:rPr>
              <w:t xml:space="preserve"> спектрофотометрическим детектором в анализе контаминации пищевых продуктов, в том числе и антимикробными средствами. Обработка результатов анализа. Оформление протокола.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6D24D3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463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6D24D3" w:rsidP="00B16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75B" w:rsidRPr="005C5BA7" w:rsidTr="005C5BA7">
        <w:trPr>
          <w:trHeight w:hRule="exact" w:val="1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4E" w:rsidRPr="005C5BA7" w:rsidRDefault="00FA1548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4E" w:rsidRPr="005C5BA7" w:rsidRDefault="00B855D2" w:rsidP="00550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 xml:space="preserve">Основные типы жидкостных </w:t>
            </w:r>
            <w:proofErr w:type="spellStart"/>
            <w:r w:rsidRPr="005C5BA7">
              <w:rPr>
                <w:rFonts w:ascii="Times New Roman" w:hAnsi="Times New Roman"/>
                <w:sz w:val="20"/>
                <w:szCs w:val="20"/>
              </w:rPr>
              <w:t>хроматографических</w:t>
            </w:r>
            <w:proofErr w:type="spellEnd"/>
            <w:r w:rsidRPr="005C5BA7">
              <w:rPr>
                <w:rFonts w:ascii="Times New Roman" w:hAnsi="Times New Roman"/>
                <w:sz w:val="20"/>
                <w:szCs w:val="20"/>
              </w:rPr>
              <w:t xml:space="preserve"> систем. </w:t>
            </w:r>
            <w:proofErr w:type="spellStart"/>
            <w:r w:rsidRPr="005C5BA7">
              <w:rPr>
                <w:rFonts w:ascii="Times New Roman" w:hAnsi="Times New Roman"/>
                <w:sz w:val="20"/>
                <w:szCs w:val="20"/>
              </w:rPr>
              <w:t>Изократическая</w:t>
            </w:r>
            <w:proofErr w:type="spellEnd"/>
            <w:r w:rsidRPr="005C5BA7">
              <w:rPr>
                <w:rFonts w:ascii="Times New Roman" w:hAnsi="Times New Roman"/>
                <w:sz w:val="20"/>
                <w:szCs w:val="20"/>
              </w:rPr>
              <w:t xml:space="preserve"> система. Градиентная система  с формированием подвижной фазы на линии высокого давления. Методы  количественного анализа контаминации пищевых продуктов, в том числе и антимикробными средствами.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5C5BA7" w:rsidRDefault="006D24D3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5C5BA7" w:rsidRDefault="00250C3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5C5BA7" w:rsidRDefault="00463F4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5C5BA7" w:rsidRDefault="00463F4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5C5BA7" w:rsidRDefault="00463F4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75B" w:rsidRPr="005C5BA7" w:rsidTr="005C5BA7">
        <w:trPr>
          <w:trHeight w:hRule="exact" w:val="1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B1" w:rsidRPr="005C5BA7" w:rsidRDefault="00FA1548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B1" w:rsidRPr="005C5BA7" w:rsidRDefault="00B855D2" w:rsidP="00550E43">
            <w:p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типы жидкостных </w:t>
            </w:r>
            <w:proofErr w:type="spellStart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>хроматографических</w:t>
            </w:r>
            <w:proofErr w:type="spellEnd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 xml:space="preserve"> систем. </w:t>
            </w:r>
            <w:proofErr w:type="spellStart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>Изократическая</w:t>
            </w:r>
            <w:proofErr w:type="spellEnd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 xml:space="preserve"> система. Градиентная система с формированием подвижной фазы на линии высокого давления. Методы количественного  анализа в анализе контаминации пищевых продуктов, в том числе и антимикробными средствами.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5C5BA7" w:rsidRDefault="006D24D3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5C5BA7" w:rsidRDefault="00907CB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5C5BA7" w:rsidRDefault="006D24D3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5C5BA7" w:rsidRDefault="00907CB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5C5BA7" w:rsidRDefault="00907CB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75B" w:rsidRPr="005C5BA7" w:rsidTr="005C5BA7">
        <w:trPr>
          <w:trHeight w:hRule="exact" w:val="2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C31" w:rsidRPr="005C5BA7" w:rsidRDefault="00B855D2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C31" w:rsidRPr="005C5BA7" w:rsidRDefault="00B855D2" w:rsidP="005C5BA7">
            <w:p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BA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высокоэффективной жидкостной хроматографии с масс-спектрометрическим детектированием. Устройство масс-спектрометрического детектора с тройным квадруполем. Проведение исследований </w:t>
            </w:r>
            <w:proofErr w:type="gramStart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>на примере определения остаточных количеств антибиотиков в пищевых продуктах на жидкостном хроматографе с масс-спектрометрическим детектором в анализе</w:t>
            </w:r>
            <w:proofErr w:type="gramEnd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 xml:space="preserve"> контамина</w:t>
            </w:r>
            <w:r w:rsidR="005C5BA7" w:rsidRPr="005C5BA7">
              <w:rPr>
                <w:rFonts w:ascii="Times New Roman" w:hAnsi="Times New Roman" w:cs="Times New Roman"/>
                <w:sz w:val="20"/>
                <w:szCs w:val="20"/>
              </w:rPr>
              <w:t xml:space="preserve">ции пищевых продуктов. </w:t>
            </w:r>
            <w:r w:rsidRPr="005C5BA7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занятия. Подготовка подвижной фазы, стандартов.  Проведение </w:t>
            </w:r>
            <w:proofErr w:type="spellStart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>пробоподготовки</w:t>
            </w:r>
            <w:proofErr w:type="spellEnd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 пищевых продуктов содержащих </w:t>
            </w:r>
            <w:proofErr w:type="spellStart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>контаминанты</w:t>
            </w:r>
            <w:proofErr w:type="spellEnd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>, в том числе и антимикробные.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31" w:rsidRPr="005C5BA7" w:rsidRDefault="00B855D2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31" w:rsidRPr="005C5BA7" w:rsidRDefault="00B855D2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31" w:rsidRPr="005C5BA7" w:rsidRDefault="00250C3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31" w:rsidRPr="005C5BA7" w:rsidRDefault="00250C3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31" w:rsidRPr="005C5BA7" w:rsidRDefault="00250C3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75B" w:rsidRPr="005C5BA7" w:rsidTr="005C5BA7">
        <w:trPr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C31" w:rsidRPr="005C5BA7" w:rsidRDefault="00B855D2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5D2" w:rsidRPr="005C5BA7" w:rsidRDefault="00B855D2" w:rsidP="00550E43">
            <w:p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BA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>хроматографического</w:t>
            </w:r>
            <w:proofErr w:type="spellEnd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подготовленной пробы пищевых продуктов содержащих </w:t>
            </w:r>
            <w:proofErr w:type="spellStart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>контаминанты</w:t>
            </w:r>
            <w:proofErr w:type="spellEnd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и антимикробные. Обработка полученных </w:t>
            </w:r>
            <w:proofErr w:type="spellStart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>хроматографических</w:t>
            </w:r>
            <w:proofErr w:type="spellEnd"/>
            <w:r w:rsidRPr="005C5BA7">
              <w:rPr>
                <w:rFonts w:ascii="Times New Roman" w:hAnsi="Times New Roman" w:cs="Times New Roman"/>
                <w:sz w:val="20"/>
                <w:szCs w:val="20"/>
              </w:rPr>
              <w:t xml:space="preserve"> данных.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31" w:rsidRPr="005C5BA7" w:rsidRDefault="00B855D2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31" w:rsidRPr="005C5BA7" w:rsidRDefault="00250C3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31" w:rsidRPr="005C5BA7" w:rsidRDefault="00B855D2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31" w:rsidRPr="005C5BA7" w:rsidRDefault="00250C3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31" w:rsidRPr="005C5BA7" w:rsidRDefault="00250C3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BA7" w:rsidRPr="005C5BA7" w:rsidTr="005C5BA7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70B" w:rsidRPr="005C5BA7" w:rsidRDefault="009F370B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70B" w:rsidRPr="005C5BA7" w:rsidRDefault="009F370B" w:rsidP="00550E43">
            <w:p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BA7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70B" w:rsidRPr="005C5BA7" w:rsidRDefault="009F370B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70B" w:rsidRPr="005C5BA7" w:rsidRDefault="009F370B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70B" w:rsidRPr="005C5BA7" w:rsidRDefault="009F370B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70B" w:rsidRPr="005C5BA7" w:rsidRDefault="009F370B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70B" w:rsidRPr="005C5BA7" w:rsidRDefault="009F370B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AD375B" w:rsidRPr="005C5BA7" w:rsidTr="005C5BA7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9F370B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9</w:t>
            </w:r>
            <w:r w:rsidR="00FA1548" w:rsidRPr="005C5B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2A6DBD" w:rsidP="00B16326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750953" w:rsidP="00FA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62355A" w:rsidP="00FA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62355A" w:rsidP="00B16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BA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C5BA7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DBD" w:rsidRPr="005C5BA7" w:rsidRDefault="009F370B" w:rsidP="009F37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  <w:r w:rsidRPr="005C5BA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В учебный план могут быть внесены изменения и дополнения</w:t>
      </w:r>
    </w:p>
    <w:p w:rsidR="00B40373" w:rsidRDefault="00B40373" w:rsidP="00FA3D18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40373" w:rsidSect="009F370B">
      <w:headerReference w:type="defaul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21" w:rsidRDefault="00912921" w:rsidP="005B402B">
      <w:pPr>
        <w:spacing w:after="0" w:line="240" w:lineRule="auto"/>
      </w:pPr>
      <w:r>
        <w:separator/>
      </w:r>
    </w:p>
  </w:endnote>
  <w:endnote w:type="continuationSeparator" w:id="0">
    <w:p w:rsidR="00912921" w:rsidRDefault="00912921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21" w:rsidRDefault="00912921" w:rsidP="005B402B">
      <w:pPr>
        <w:spacing w:after="0" w:line="240" w:lineRule="auto"/>
      </w:pPr>
      <w:r>
        <w:separator/>
      </w:r>
    </w:p>
  </w:footnote>
  <w:footnote w:type="continuationSeparator" w:id="0">
    <w:p w:rsidR="00912921" w:rsidRDefault="00912921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49093"/>
      <w:docPartObj>
        <w:docPartGallery w:val="Page Numbers (Top of Page)"/>
        <w:docPartUnique/>
      </w:docPartObj>
    </w:sdtPr>
    <w:sdtEndPr/>
    <w:sdtContent>
      <w:p w:rsidR="009F370B" w:rsidRDefault="009F3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41C">
          <w:rPr>
            <w:noProof/>
          </w:rPr>
          <w:t>2</w:t>
        </w:r>
        <w:r>
          <w:fldChar w:fldCharType="end"/>
        </w:r>
      </w:p>
    </w:sdtContent>
  </w:sdt>
  <w:p w:rsidR="009F370B" w:rsidRDefault="009F3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52FCD"/>
    <w:rsid w:val="00055C46"/>
    <w:rsid w:val="000604FD"/>
    <w:rsid w:val="00061823"/>
    <w:rsid w:val="00070122"/>
    <w:rsid w:val="000B0519"/>
    <w:rsid w:val="000D041E"/>
    <w:rsid w:val="000D43A2"/>
    <w:rsid w:val="000E6678"/>
    <w:rsid w:val="000F39CD"/>
    <w:rsid w:val="00106FD0"/>
    <w:rsid w:val="00122219"/>
    <w:rsid w:val="001262A1"/>
    <w:rsid w:val="00130AA0"/>
    <w:rsid w:val="00140759"/>
    <w:rsid w:val="00167994"/>
    <w:rsid w:val="00182C84"/>
    <w:rsid w:val="00193467"/>
    <w:rsid w:val="001A2EC9"/>
    <w:rsid w:val="001C341C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50C31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E432A"/>
    <w:rsid w:val="002F446E"/>
    <w:rsid w:val="00342693"/>
    <w:rsid w:val="00356A53"/>
    <w:rsid w:val="003767BE"/>
    <w:rsid w:val="003807D9"/>
    <w:rsid w:val="00391BFB"/>
    <w:rsid w:val="003D57A0"/>
    <w:rsid w:val="003D59CB"/>
    <w:rsid w:val="003E5F19"/>
    <w:rsid w:val="003F6A32"/>
    <w:rsid w:val="0041225C"/>
    <w:rsid w:val="00414AED"/>
    <w:rsid w:val="004200D1"/>
    <w:rsid w:val="00422EF4"/>
    <w:rsid w:val="00440AFA"/>
    <w:rsid w:val="0044317D"/>
    <w:rsid w:val="00446203"/>
    <w:rsid w:val="00447710"/>
    <w:rsid w:val="00452B6F"/>
    <w:rsid w:val="00457ED3"/>
    <w:rsid w:val="00461025"/>
    <w:rsid w:val="00462AF2"/>
    <w:rsid w:val="00463F4E"/>
    <w:rsid w:val="00464303"/>
    <w:rsid w:val="00466EC5"/>
    <w:rsid w:val="0047511B"/>
    <w:rsid w:val="0048053F"/>
    <w:rsid w:val="004860A7"/>
    <w:rsid w:val="00490F5B"/>
    <w:rsid w:val="004A21C6"/>
    <w:rsid w:val="00500DA6"/>
    <w:rsid w:val="00501EC2"/>
    <w:rsid w:val="00511F12"/>
    <w:rsid w:val="005350C1"/>
    <w:rsid w:val="00541A79"/>
    <w:rsid w:val="00550E43"/>
    <w:rsid w:val="005526FD"/>
    <w:rsid w:val="005712EE"/>
    <w:rsid w:val="00583F3F"/>
    <w:rsid w:val="005A15CF"/>
    <w:rsid w:val="005A5FD2"/>
    <w:rsid w:val="005B402B"/>
    <w:rsid w:val="005B619D"/>
    <w:rsid w:val="005C5BA7"/>
    <w:rsid w:val="005D1C4A"/>
    <w:rsid w:val="005E1EBC"/>
    <w:rsid w:val="005F2793"/>
    <w:rsid w:val="0062355A"/>
    <w:rsid w:val="00627CC6"/>
    <w:rsid w:val="0063798D"/>
    <w:rsid w:val="00641971"/>
    <w:rsid w:val="0068167C"/>
    <w:rsid w:val="00691E00"/>
    <w:rsid w:val="00695B0E"/>
    <w:rsid w:val="0069699E"/>
    <w:rsid w:val="006A41E1"/>
    <w:rsid w:val="006B314D"/>
    <w:rsid w:val="006C1760"/>
    <w:rsid w:val="006C73F1"/>
    <w:rsid w:val="006D24D3"/>
    <w:rsid w:val="006D72C6"/>
    <w:rsid w:val="006E54D7"/>
    <w:rsid w:val="006E5525"/>
    <w:rsid w:val="006F3533"/>
    <w:rsid w:val="00703605"/>
    <w:rsid w:val="007042FA"/>
    <w:rsid w:val="007177FE"/>
    <w:rsid w:val="00750953"/>
    <w:rsid w:val="007640E9"/>
    <w:rsid w:val="00781F3A"/>
    <w:rsid w:val="007979E1"/>
    <w:rsid w:val="007A4DE1"/>
    <w:rsid w:val="007B7B45"/>
    <w:rsid w:val="007C1A45"/>
    <w:rsid w:val="007C796E"/>
    <w:rsid w:val="007D2A97"/>
    <w:rsid w:val="007E0282"/>
    <w:rsid w:val="007F07B4"/>
    <w:rsid w:val="007F305B"/>
    <w:rsid w:val="0080269A"/>
    <w:rsid w:val="0083305B"/>
    <w:rsid w:val="00843C7D"/>
    <w:rsid w:val="00876C33"/>
    <w:rsid w:val="00887A5C"/>
    <w:rsid w:val="00896726"/>
    <w:rsid w:val="0089753C"/>
    <w:rsid w:val="008A26B9"/>
    <w:rsid w:val="008C34DE"/>
    <w:rsid w:val="008C782D"/>
    <w:rsid w:val="008E03B0"/>
    <w:rsid w:val="008F6E64"/>
    <w:rsid w:val="00906D6E"/>
    <w:rsid w:val="00907CB1"/>
    <w:rsid w:val="00912921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C77C0"/>
    <w:rsid w:val="009D0B4F"/>
    <w:rsid w:val="009D5307"/>
    <w:rsid w:val="009D77F5"/>
    <w:rsid w:val="009E2B78"/>
    <w:rsid w:val="009E566E"/>
    <w:rsid w:val="009F368B"/>
    <w:rsid w:val="009F370B"/>
    <w:rsid w:val="00A028FC"/>
    <w:rsid w:val="00A05CEA"/>
    <w:rsid w:val="00A1577D"/>
    <w:rsid w:val="00A62428"/>
    <w:rsid w:val="00A64257"/>
    <w:rsid w:val="00A83C0F"/>
    <w:rsid w:val="00A91136"/>
    <w:rsid w:val="00A96CBD"/>
    <w:rsid w:val="00AA2571"/>
    <w:rsid w:val="00AB42D2"/>
    <w:rsid w:val="00AB6AC3"/>
    <w:rsid w:val="00AB7D0C"/>
    <w:rsid w:val="00AB7D76"/>
    <w:rsid w:val="00AC0FCF"/>
    <w:rsid w:val="00AC5312"/>
    <w:rsid w:val="00AD375B"/>
    <w:rsid w:val="00AE35CF"/>
    <w:rsid w:val="00AF3F37"/>
    <w:rsid w:val="00B16326"/>
    <w:rsid w:val="00B40373"/>
    <w:rsid w:val="00B4441B"/>
    <w:rsid w:val="00B50F1C"/>
    <w:rsid w:val="00B56267"/>
    <w:rsid w:val="00B621B5"/>
    <w:rsid w:val="00B67044"/>
    <w:rsid w:val="00B75A61"/>
    <w:rsid w:val="00B75C6A"/>
    <w:rsid w:val="00B855D2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12B29"/>
    <w:rsid w:val="00C472DC"/>
    <w:rsid w:val="00C50549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CC20AB"/>
    <w:rsid w:val="00CC74D4"/>
    <w:rsid w:val="00D0545B"/>
    <w:rsid w:val="00D06B8D"/>
    <w:rsid w:val="00D113DE"/>
    <w:rsid w:val="00D510D2"/>
    <w:rsid w:val="00D6088F"/>
    <w:rsid w:val="00D722D0"/>
    <w:rsid w:val="00D73B1F"/>
    <w:rsid w:val="00D76489"/>
    <w:rsid w:val="00D85D19"/>
    <w:rsid w:val="00D86C0F"/>
    <w:rsid w:val="00DA49A2"/>
    <w:rsid w:val="00DA7C67"/>
    <w:rsid w:val="00DB0643"/>
    <w:rsid w:val="00DC40E9"/>
    <w:rsid w:val="00DC4802"/>
    <w:rsid w:val="00DC48E8"/>
    <w:rsid w:val="00DC54A8"/>
    <w:rsid w:val="00DD3B6C"/>
    <w:rsid w:val="00DE1F71"/>
    <w:rsid w:val="00DE7D54"/>
    <w:rsid w:val="00DE7D5D"/>
    <w:rsid w:val="00E1551F"/>
    <w:rsid w:val="00E32057"/>
    <w:rsid w:val="00E33CEB"/>
    <w:rsid w:val="00E4362D"/>
    <w:rsid w:val="00E46685"/>
    <w:rsid w:val="00E5526F"/>
    <w:rsid w:val="00E70F95"/>
    <w:rsid w:val="00E92EB6"/>
    <w:rsid w:val="00E934E4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47ABE"/>
    <w:rsid w:val="00F55DD9"/>
    <w:rsid w:val="00F71930"/>
    <w:rsid w:val="00F71A50"/>
    <w:rsid w:val="00F73CC4"/>
    <w:rsid w:val="00F818D9"/>
    <w:rsid w:val="00F87940"/>
    <w:rsid w:val="00F9333A"/>
    <w:rsid w:val="00F9706F"/>
    <w:rsid w:val="00FA1548"/>
    <w:rsid w:val="00FA3D18"/>
    <w:rsid w:val="00FC41EF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52D4-06EB-4CAF-8245-684A8209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2</cp:revision>
  <cp:lastPrinted>2018-08-03T12:26:00Z</cp:lastPrinted>
  <dcterms:created xsi:type="dcterms:W3CDTF">2019-05-08T11:15:00Z</dcterms:created>
  <dcterms:modified xsi:type="dcterms:W3CDTF">2019-05-08T11:15:00Z</dcterms:modified>
</cp:coreProperties>
</file>